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6CE784" w14:textId="77777777" w:rsidR="009B5932" w:rsidRPr="008D154B" w:rsidRDefault="009B593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sz w:val="28"/>
          <w:szCs w:val="28"/>
        </w:rPr>
      </w:pPr>
    </w:p>
    <w:p w14:paraId="2BFAA119" w14:textId="77777777" w:rsidR="00F20B95" w:rsidRPr="008D154B" w:rsidRDefault="00F20B95" w:rsidP="00F20B95">
      <w:pPr>
        <w:widowControl w:val="0"/>
        <w:autoSpaceDE w:val="0"/>
        <w:autoSpaceDN w:val="0"/>
        <w:adjustRightInd w:val="0"/>
        <w:jc w:val="center"/>
        <w:rPr>
          <w:rFonts w:ascii="Avenir Book" w:hAnsi="Avenir Book" w:cs="Calibri"/>
          <w:sz w:val="28"/>
          <w:szCs w:val="28"/>
        </w:rPr>
      </w:pPr>
      <w:r w:rsidRPr="008D154B">
        <w:rPr>
          <w:rFonts w:ascii="Avenir Book" w:hAnsi="Avenir Book" w:cs="Calibri"/>
          <w:sz w:val="28"/>
          <w:szCs w:val="28"/>
        </w:rPr>
        <w:t xml:space="preserve">Discussion </w:t>
      </w:r>
      <w:r w:rsidR="00086F82" w:rsidRPr="008D154B">
        <w:rPr>
          <w:rFonts w:ascii="Avenir Book" w:hAnsi="Avenir Book" w:cs="Calibri"/>
          <w:sz w:val="28"/>
          <w:szCs w:val="28"/>
        </w:rPr>
        <w:t xml:space="preserve">Questions </w:t>
      </w:r>
      <w:r w:rsidRPr="008D154B">
        <w:rPr>
          <w:rFonts w:ascii="Avenir Book" w:hAnsi="Avenir Book" w:cs="Calibri"/>
          <w:sz w:val="28"/>
          <w:szCs w:val="28"/>
        </w:rPr>
        <w:t>Group</w:t>
      </w:r>
      <w:bookmarkStart w:id="0" w:name="_GoBack"/>
      <w:bookmarkEnd w:id="0"/>
    </w:p>
    <w:p w14:paraId="4903165F" w14:textId="77777777" w:rsidR="00F20B95" w:rsidRDefault="00F20B95" w:rsidP="009B5932">
      <w:pPr>
        <w:widowControl w:val="0"/>
        <w:autoSpaceDE w:val="0"/>
        <w:autoSpaceDN w:val="0"/>
        <w:adjustRightInd w:val="0"/>
        <w:rPr>
          <w:rFonts w:ascii="Calibri" w:hAnsi="Calibri" w:cs="Calibri"/>
          <w:sz w:val="28"/>
          <w:szCs w:val="28"/>
        </w:rPr>
      </w:pPr>
    </w:p>
    <w:p w14:paraId="167E0FA2" w14:textId="77777777" w:rsidR="00053F33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</w:rPr>
        <w:t xml:space="preserve">1. </w:t>
      </w:r>
      <w:r w:rsidR="00053F33" w:rsidRPr="008D154B">
        <w:rPr>
          <w:rFonts w:ascii="Avenir Book" w:hAnsi="Avenir Book" w:cs="Calibri"/>
        </w:rPr>
        <w:t xml:space="preserve">Why do you think that Paul didn’t just tell slaves to runaway or rebel against the system or their master’s? </w:t>
      </w:r>
    </w:p>
    <w:p w14:paraId="7D2A7A83" w14:textId="77777777" w:rsidR="00053F33" w:rsidRPr="008D154B" w:rsidRDefault="00053F33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61AAEA6D" w14:textId="77777777" w:rsidR="00053F33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</w:rPr>
        <w:t xml:space="preserve">2. </w:t>
      </w:r>
      <w:r w:rsidR="00053F33" w:rsidRPr="008D154B">
        <w:rPr>
          <w:rFonts w:ascii="Avenir Book" w:hAnsi="Avenir Book" w:cs="Calibri"/>
        </w:rPr>
        <w:t xml:space="preserve">How does Paul’s instruction about slaves submitting to masters parallel his instruction for citizens to submit to their (often secular and corrupt) rulers? </w:t>
      </w:r>
    </w:p>
    <w:p w14:paraId="74F034BB" w14:textId="77777777" w:rsidR="00053F33" w:rsidRPr="008D154B" w:rsidRDefault="00053F33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3E23E1AB" w14:textId="77777777" w:rsidR="00053F33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</w:rPr>
        <w:t xml:space="preserve">3. </w:t>
      </w:r>
      <w:r w:rsidR="00053F33" w:rsidRPr="008D154B">
        <w:rPr>
          <w:rFonts w:ascii="Avenir Book" w:hAnsi="Avenir Book" w:cs="Calibri"/>
        </w:rPr>
        <w:t>How do we see this in Jesus’ life? (See Phil 2:5-11. The word for “servant” in v. 7 is the same Greek word that is translated as “slave” or “bondservant” in 1 Tim 6:1).</w:t>
      </w:r>
      <w:r w:rsidR="00F20B95" w:rsidRPr="008D154B">
        <w:rPr>
          <w:rFonts w:ascii="Avenir Book" w:hAnsi="Avenir Book" w:cs="Calibri"/>
        </w:rPr>
        <w:t xml:space="preserve"> </w:t>
      </w:r>
    </w:p>
    <w:p w14:paraId="01954128" w14:textId="77777777" w:rsidR="00053F33" w:rsidRPr="008D154B" w:rsidRDefault="00053F33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55F13B73" w14:textId="77777777" w:rsidR="00053F33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</w:rPr>
        <w:t xml:space="preserve">4. </w:t>
      </w:r>
      <w:r w:rsidR="00053F33" w:rsidRPr="008D154B">
        <w:rPr>
          <w:rFonts w:ascii="Avenir Book" w:hAnsi="Avenir Book" w:cs="Calibri"/>
        </w:rPr>
        <w:t>Paul warns Christian bondservants not to take advantage of their Christian masters. How are we today tempted to do something similar?</w:t>
      </w:r>
    </w:p>
    <w:p w14:paraId="22829328" w14:textId="77777777" w:rsidR="00F20B95" w:rsidRPr="008D154B" w:rsidRDefault="00F20B95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1A1A1A"/>
        </w:rPr>
      </w:pPr>
    </w:p>
    <w:p w14:paraId="06542573" w14:textId="77777777" w:rsidR="009B5932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  <w:color w:val="1A1A1A"/>
        </w:rPr>
        <w:t xml:space="preserve">5. </w:t>
      </w:r>
      <w:r w:rsidR="009B5932" w:rsidRPr="008D154B">
        <w:rPr>
          <w:rFonts w:ascii="Avenir Book" w:hAnsi="Avenir Book" w:cs="Calibri"/>
          <w:color w:val="1A1A1A"/>
        </w:rPr>
        <w:t xml:space="preserve">What does “doctrine" mean, and what separates </w:t>
      </w:r>
      <w:proofErr w:type="gramStart"/>
      <w:r w:rsidR="009B5932" w:rsidRPr="008D154B">
        <w:rPr>
          <w:rFonts w:ascii="Avenir Book" w:hAnsi="Avenir Book" w:cs="Calibri"/>
          <w:color w:val="1A1A1A"/>
        </w:rPr>
        <w:t>good</w:t>
      </w:r>
      <w:proofErr w:type="gramEnd"/>
      <w:r w:rsidR="009B5932" w:rsidRPr="008D154B">
        <w:rPr>
          <w:rFonts w:ascii="Avenir Book" w:hAnsi="Avenir Book" w:cs="Calibri"/>
          <w:color w:val="1A1A1A"/>
        </w:rPr>
        <w:t xml:space="preserve"> from bad</w:t>
      </w:r>
      <w:r w:rsidRPr="008D154B">
        <w:rPr>
          <w:rFonts w:ascii="Avenir Book" w:hAnsi="Avenir Book" w:cs="Calibri"/>
          <w:color w:val="1A1A1A"/>
        </w:rPr>
        <w:t xml:space="preserve"> (v. 3)</w:t>
      </w:r>
      <w:r w:rsidR="009B5932" w:rsidRPr="008D154B">
        <w:rPr>
          <w:rFonts w:ascii="Avenir Book" w:hAnsi="Avenir Book" w:cs="Calibri"/>
          <w:color w:val="1A1A1A"/>
        </w:rPr>
        <w:t>?</w:t>
      </w:r>
      <w:r w:rsidRPr="008D154B">
        <w:rPr>
          <w:rFonts w:ascii="Avenir Book" w:hAnsi="Avenir Book" w:cs="Calibri"/>
          <w:color w:val="1A1A1A"/>
        </w:rPr>
        <w:t xml:space="preserve"> Paul characterizes the false teachers as teaching “different doctrine.” What does he mean? Their doctrine is different than what?</w:t>
      </w:r>
    </w:p>
    <w:p w14:paraId="652D5DEE" w14:textId="77777777" w:rsidR="009B5932" w:rsidRPr="008D154B" w:rsidRDefault="009B593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1A1A1A"/>
        </w:rPr>
      </w:pPr>
    </w:p>
    <w:p w14:paraId="1879534C" w14:textId="77777777" w:rsidR="009B5932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1A1A1A"/>
        </w:rPr>
      </w:pPr>
      <w:r w:rsidRPr="008D154B">
        <w:rPr>
          <w:rFonts w:ascii="Avenir Book" w:hAnsi="Avenir Book" w:cs="Calibri"/>
          <w:color w:val="1A1A1A"/>
        </w:rPr>
        <w:t xml:space="preserve">6. </w:t>
      </w:r>
      <w:r w:rsidR="00F20B95" w:rsidRPr="008D154B">
        <w:rPr>
          <w:rFonts w:ascii="Avenir Book" w:hAnsi="Avenir Book" w:cs="Calibri"/>
          <w:color w:val="1A1A1A"/>
        </w:rPr>
        <w:t>Why does sound doctrine lead to sound living, and unsound doctrine to unsound living?</w:t>
      </w:r>
    </w:p>
    <w:p w14:paraId="017D4A4D" w14:textId="77777777" w:rsidR="00F20B95" w:rsidRPr="008D154B" w:rsidRDefault="00F20B95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1A1A1A"/>
        </w:rPr>
      </w:pPr>
    </w:p>
    <w:p w14:paraId="3E982E96" w14:textId="77777777" w:rsidR="00086F82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1A1A1A"/>
        </w:rPr>
      </w:pPr>
      <w:r w:rsidRPr="008D154B">
        <w:rPr>
          <w:rFonts w:ascii="Avenir Book" w:hAnsi="Avenir Book" w:cs="Calibri"/>
          <w:color w:val="1A1A1A"/>
        </w:rPr>
        <w:t>7. How does sound doctrine bring order to the church?</w:t>
      </w:r>
    </w:p>
    <w:p w14:paraId="6F3FF653" w14:textId="77777777" w:rsidR="00086F82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  <w:color w:val="1A1A1A"/>
        </w:rPr>
      </w:pPr>
    </w:p>
    <w:p w14:paraId="03D9BE8C" w14:textId="77777777" w:rsidR="00F20B95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  <w:color w:val="1A1A1A"/>
        </w:rPr>
        <w:t xml:space="preserve">8. </w:t>
      </w:r>
      <w:r w:rsidR="00F20B95" w:rsidRPr="008D154B">
        <w:rPr>
          <w:rFonts w:ascii="Avenir Book" w:hAnsi="Avenir Book" w:cs="Calibri"/>
          <w:color w:val="1A1A1A"/>
        </w:rPr>
        <w:t>Why does godliness lead us to contentment? How does godliness teach us to be satisfied with what God has provided us?</w:t>
      </w:r>
    </w:p>
    <w:p w14:paraId="536FC604" w14:textId="77777777" w:rsidR="009B5932" w:rsidRPr="008D154B" w:rsidRDefault="009B593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020C7A66" w14:textId="77777777" w:rsidR="00086F82" w:rsidRPr="008D154B" w:rsidRDefault="00086F8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  <w:r w:rsidRPr="008D154B">
        <w:rPr>
          <w:rFonts w:ascii="Avenir Book" w:hAnsi="Avenir Book" w:cs="Calibri"/>
        </w:rPr>
        <w:t>9. Who are the rich in today’s world? How does God call us to invest our material wealth (vv. 17-19)</w:t>
      </w:r>
      <w:proofErr w:type="gramStart"/>
      <w:r w:rsidRPr="008D154B">
        <w:rPr>
          <w:rFonts w:ascii="Avenir Book" w:hAnsi="Avenir Book" w:cs="Calibri"/>
        </w:rPr>
        <w:t>.</w:t>
      </w:r>
      <w:proofErr w:type="gramEnd"/>
    </w:p>
    <w:p w14:paraId="33C04098" w14:textId="77777777" w:rsidR="009B5932" w:rsidRPr="008D154B" w:rsidRDefault="009B5932" w:rsidP="009B5932">
      <w:pPr>
        <w:widowControl w:val="0"/>
        <w:autoSpaceDE w:val="0"/>
        <w:autoSpaceDN w:val="0"/>
        <w:adjustRightInd w:val="0"/>
        <w:rPr>
          <w:rFonts w:ascii="Avenir Book" w:hAnsi="Avenir Book" w:cs="Calibri"/>
        </w:rPr>
      </w:pPr>
    </w:p>
    <w:p w14:paraId="717AE122" w14:textId="77777777" w:rsidR="00086F82" w:rsidRPr="008D154B" w:rsidRDefault="00086F82" w:rsidP="009B5932">
      <w:pPr>
        <w:rPr>
          <w:rFonts w:ascii="Avenir Book" w:hAnsi="Avenir Book" w:cs="Calibri"/>
          <w:color w:val="1A1A1A"/>
        </w:rPr>
      </w:pPr>
      <w:r w:rsidRPr="008D154B">
        <w:rPr>
          <w:rFonts w:ascii="Avenir Book" w:hAnsi="Avenir Book" w:cs="Calibri"/>
          <w:color w:val="1A1A1A"/>
        </w:rPr>
        <w:t>10. What is doxology?</w:t>
      </w:r>
    </w:p>
    <w:p w14:paraId="121BC4FF" w14:textId="77777777" w:rsidR="00086F82" w:rsidRPr="008D154B" w:rsidRDefault="00086F82" w:rsidP="009B5932">
      <w:pPr>
        <w:rPr>
          <w:rFonts w:ascii="Avenir Book" w:hAnsi="Avenir Book" w:cs="Calibri"/>
          <w:color w:val="1A1A1A"/>
        </w:rPr>
      </w:pPr>
    </w:p>
    <w:p w14:paraId="4E6136FD" w14:textId="77777777" w:rsidR="00086F82" w:rsidRPr="008D154B" w:rsidRDefault="00086F82" w:rsidP="009B5932">
      <w:pPr>
        <w:rPr>
          <w:rFonts w:ascii="Avenir Book" w:hAnsi="Avenir Book" w:cs="Calibri"/>
          <w:color w:val="1A1A1A"/>
        </w:rPr>
      </w:pPr>
      <w:r w:rsidRPr="008D154B">
        <w:rPr>
          <w:rFonts w:ascii="Avenir Book" w:hAnsi="Avenir Book" w:cs="Calibri"/>
          <w:color w:val="1A1A1A"/>
        </w:rPr>
        <w:t>11. How does good theology lead to doxology?</w:t>
      </w:r>
    </w:p>
    <w:p w14:paraId="02876546" w14:textId="77777777" w:rsidR="00086F82" w:rsidRPr="008D154B" w:rsidRDefault="00086F82" w:rsidP="00086F82">
      <w:pPr>
        <w:rPr>
          <w:rFonts w:ascii="Avenir Book" w:hAnsi="Avenir Book" w:cs="Calibri"/>
          <w:color w:val="1A1A1A"/>
        </w:rPr>
      </w:pPr>
    </w:p>
    <w:p w14:paraId="1F44EE59" w14:textId="77777777" w:rsidR="00086F82" w:rsidRPr="008D154B" w:rsidRDefault="00086F82" w:rsidP="00086F82">
      <w:pPr>
        <w:rPr>
          <w:rFonts w:ascii="Avenir Book" w:hAnsi="Avenir Book" w:cs="Calibri"/>
          <w:color w:val="1A1A1A"/>
        </w:rPr>
      </w:pPr>
      <w:r w:rsidRPr="008D154B">
        <w:rPr>
          <w:rFonts w:ascii="Avenir Book" w:hAnsi="Avenir Book" w:cs="Calibri"/>
          <w:color w:val="1A1A1A"/>
        </w:rPr>
        <w:t>12. When do you find yourself most inspired to worship? What’s on your mind in those moments?</w:t>
      </w:r>
    </w:p>
    <w:p w14:paraId="32787D7D" w14:textId="77777777" w:rsidR="00086F82" w:rsidRDefault="00086F82" w:rsidP="009B5932"/>
    <w:sectPr w:rsidR="00086F82" w:rsidSect="000576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932"/>
    <w:rsid w:val="00053F33"/>
    <w:rsid w:val="000576C0"/>
    <w:rsid w:val="00086F82"/>
    <w:rsid w:val="008D154B"/>
    <w:rsid w:val="009B5932"/>
    <w:rsid w:val="00F20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C295F1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201</Words>
  <Characters>1151</Characters>
  <Application>Microsoft Macintosh Word</Application>
  <DocSecurity>0</DocSecurity>
  <Lines>9</Lines>
  <Paragraphs>2</Paragraphs>
  <ScaleCrop>false</ScaleCrop>
  <Company>King's Harbor Church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Kapena Cavuto</dc:creator>
  <cp:keywords/>
  <dc:description/>
  <cp:lastModifiedBy>Kapena Cavuto</cp:lastModifiedBy>
  <cp:revision>2</cp:revision>
  <dcterms:created xsi:type="dcterms:W3CDTF">2017-04-04T22:04:00Z</dcterms:created>
  <dcterms:modified xsi:type="dcterms:W3CDTF">2017-04-04T22:41:00Z</dcterms:modified>
</cp:coreProperties>
</file>